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F6733" w:rsidRPr="00DF6733">
        <w:trPr>
          <w:tblCellSpacing w:w="0" w:type="dxa"/>
          <w:jc w:val="center"/>
        </w:trPr>
        <w:tc>
          <w:tcPr>
            <w:tcW w:w="0" w:type="auto"/>
            <w:tcMar>
              <w:top w:w="30" w:type="dxa"/>
              <w:left w:w="0" w:type="dxa"/>
              <w:bottom w:w="150" w:type="dxa"/>
              <w:right w:w="0" w:type="dxa"/>
            </w:tcMar>
            <w:vAlign w:val="center"/>
            <w:hideMark/>
          </w:tcPr>
          <w:p w:rsidR="00DF6733" w:rsidRPr="00DF6733" w:rsidRDefault="00DF6733" w:rsidP="00DF6733">
            <w:pPr>
              <w:widowControl/>
              <w:spacing w:line="360" w:lineRule="auto"/>
              <w:jc w:val="center"/>
              <w:rPr>
                <w:rFonts w:ascii="ˎ̥" w:eastAsia="宋体" w:hAnsi="ˎ̥" w:cs="Arial"/>
                <w:b/>
                <w:bCs/>
                <w:color w:val="093A96"/>
                <w:kern w:val="0"/>
                <w:sz w:val="33"/>
                <w:szCs w:val="33"/>
              </w:rPr>
            </w:pPr>
            <w:r w:rsidRPr="00DF6733">
              <w:rPr>
                <w:rFonts w:ascii="ˎ̥" w:eastAsia="宋体" w:hAnsi="ˎ̥" w:cs="Arial"/>
                <w:b/>
                <w:bCs/>
                <w:color w:val="093A96"/>
                <w:kern w:val="0"/>
                <w:sz w:val="33"/>
                <w:szCs w:val="33"/>
              </w:rPr>
              <w:t>总局发布《关于修改</w:t>
            </w:r>
            <w:r w:rsidRPr="00DF6733">
              <w:rPr>
                <w:rFonts w:ascii="ˎ̥" w:eastAsia="宋体" w:hAnsi="ˎ̥" w:cs="Arial"/>
                <w:b/>
                <w:bCs/>
                <w:color w:val="093A96"/>
                <w:kern w:val="0"/>
                <w:sz w:val="33"/>
                <w:szCs w:val="33"/>
              </w:rPr>
              <w:t>&lt;</w:t>
            </w:r>
            <w:r w:rsidRPr="00DF6733">
              <w:rPr>
                <w:rFonts w:ascii="ˎ̥" w:eastAsia="宋体" w:hAnsi="ˎ̥" w:cs="Arial"/>
                <w:b/>
                <w:bCs/>
                <w:color w:val="093A96"/>
                <w:kern w:val="0"/>
                <w:sz w:val="33"/>
                <w:szCs w:val="33"/>
              </w:rPr>
              <w:t>药品经营质量管理规范</w:t>
            </w:r>
            <w:r w:rsidRPr="00DF6733">
              <w:rPr>
                <w:rFonts w:ascii="ˎ̥" w:eastAsia="宋体" w:hAnsi="ˎ̥" w:cs="Arial"/>
                <w:b/>
                <w:bCs/>
                <w:color w:val="093A96"/>
                <w:kern w:val="0"/>
                <w:sz w:val="33"/>
                <w:szCs w:val="33"/>
              </w:rPr>
              <w:t>&gt;</w:t>
            </w:r>
            <w:r w:rsidRPr="00DF6733">
              <w:rPr>
                <w:rFonts w:ascii="ˎ̥" w:eastAsia="宋体" w:hAnsi="ˎ̥" w:cs="Arial"/>
                <w:b/>
                <w:bCs/>
                <w:color w:val="093A96"/>
                <w:kern w:val="0"/>
                <w:sz w:val="33"/>
                <w:szCs w:val="33"/>
              </w:rPr>
              <w:t>的决定》</w:t>
            </w:r>
            <w:bookmarkStart w:id="0" w:name="_GoBack"/>
            <w:bookmarkEnd w:id="0"/>
            <w:r w:rsidRPr="00DF6733">
              <w:rPr>
                <w:rFonts w:ascii="ˎ̥" w:eastAsia="宋体" w:hAnsi="ˎ̥" w:cs="Arial"/>
                <w:b/>
                <w:bCs/>
                <w:color w:val="093A96"/>
                <w:kern w:val="0"/>
                <w:sz w:val="33"/>
                <w:szCs w:val="33"/>
              </w:rPr>
              <w:t xml:space="preserve"> </w:t>
            </w:r>
          </w:p>
        </w:tc>
      </w:tr>
      <w:tr w:rsidR="00DF6733" w:rsidRPr="00DF6733">
        <w:trPr>
          <w:tblCellSpacing w:w="0" w:type="dxa"/>
          <w:jc w:val="center"/>
        </w:trPr>
        <w:tc>
          <w:tcPr>
            <w:tcW w:w="0" w:type="auto"/>
            <w:vAlign w:val="center"/>
            <w:hideMark/>
          </w:tcPr>
          <w:p w:rsidR="00DF6733" w:rsidRPr="00DF6733" w:rsidRDefault="00DF6733" w:rsidP="00DF6733">
            <w:pPr>
              <w:widowControl/>
              <w:spacing w:line="480" w:lineRule="auto"/>
              <w:jc w:val="center"/>
              <w:rPr>
                <w:rFonts w:ascii="ˎ̥" w:eastAsia="宋体" w:hAnsi="ˎ̥" w:cs="Arial"/>
                <w:b/>
                <w:bCs/>
                <w:color w:val="093A96"/>
                <w:kern w:val="0"/>
                <w:sz w:val="27"/>
                <w:szCs w:val="27"/>
              </w:rPr>
            </w:pPr>
          </w:p>
        </w:tc>
      </w:tr>
      <w:tr w:rsidR="00DF6733" w:rsidRPr="00DF6733">
        <w:trPr>
          <w:tblCellSpacing w:w="0" w:type="dxa"/>
          <w:jc w:val="center"/>
        </w:trPr>
        <w:tc>
          <w:tcPr>
            <w:tcW w:w="0" w:type="auto"/>
            <w:tcMar>
              <w:top w:w="120" w:type="dxa"/>
              <w:left w:w="0" w:type="dxa"/>
              <w:bottom w:w="0" w:type="dxa"/>
              <w:right w:w="0" w:type="dxa"/>
            </w:tcMar>
            <w:vAlign w:val="center"/>
            <w:hideMark/>
          </w:tcPr>
          <w:p w:rsidR="00DF6733" w:rsidRPr="00DF6733" w:rsidRDefault="00DF6733" w:rsidP="00DF6733">
            <w:pPr>
              <w:widowControl/>
              <w:spacing w:line="360" w:lineRule="auto"/>
              <w:jc w:val="right"/>
              <w:rPr>
                <w:rFonts w:ascii="ˎ̥" w:eastAsia="宋体" w:hAnsi="ˎ̥" w:cs="Arial"/>
                <w:color w:val="919191"/>
                <w:kern w:val="0"/>
                <w:szCs w:val="21"/>
              </w:rPr>
            </w:pPr>
            <w:r w:rsidRPr="00DF6733">
              <w:rPr>
                <w:rFonts w:ascii="ˎ̥" w:eastAsia="宋体" w:hAnsi="ˎ̥" w:cs="Arial"/>
                <w:color w:val="919191"/>
                <w:kern w:val="0"/>
                <w:szCs w:val="21"/>
              </w:rPr>
              <w:t>2016</w:t>
            </w:r>
            <w:r w:rsidRPr="00DF6733">
              <w:rPr>
                <w:rFonts w:ascii="ˎ̥" w:eastAsia="宋体" w:hAnsi="ˎ̥" w:cs="Arial"/>
                <w:color w:val="919191"/>
                <w:kern w:val="0"/>
                <w:szCs w:val="21"/>
              </w:rPr>
              <w:t>年</w:t>
            </w:r>
            <w:r w:rsidRPr="00DF6733">
              <w:rPr>
                <w:rFonts w:ascii="ˎ̥" w:eastAsia="宋体" w:hAnsi="ˎ̥" w:cs="Arial"/>
                <w:color w:val="919191"/>
                <w:kern w:val="0"/>
                <w:szCs w:val="21"/>
              </w:rPr>
              <w:t>07</w:t>
            </w:r>
            <w:r w:rsidRPr="00DF6733">
              <w:rPr>
                <w:rFonts w:ascii="ˎ̥" w:eastAsia="宋体" w:hAnsi="ˎ̥" w:cs="Arial"/>
                <w:color w:val="919191"/>
                <w:kern w:val="0"/>
                <w:szCs w:val="21"/>
              </w:rPr>
              <w:t>月</w:t>
            </w:r>
            <w:r w:rsidRPr="00DF6733">
              <w:rPr>
                <w:rFonts w:ascii="ˎ̥" w:eastAsia="宋体" w:hAnsi="ˎ̥" w:cs="Arial"/>
                <w:color w:val="919191"/>
                <w:kern w:val="0"/>
                <w:szCs w:val="21"/>
              </w:rPr>
              <w:t>20</w:t>
            </w:r>
            <w:r w:rsidRPr="00DF6733">
              <w:rPr>
                <w:rFonts w:ascii="ˎ̥" w:eastAsia="宋体" w:hAnsi="ˎ̥" w:cs="Arial"/>
                <w:color w:val="919191"/>
                <w:kern w:val="0"/>
                <w:szCs w:val="21"/>
              </w:rPr>
              <w:t>日</w:t>
            </w:r>
            <w:r w:rsidRPr="00DF6733">
              <w:rPr>
                <w:rFonts w:ascii="ˎ̥" w:eastAsia="宋体" w:hAnsi="ˎ̥" w:cs="Arial"/>
                <w:color w:val="919191"/>
                <w:kern w:val="0"/>
                <w:szCs w:val="21"/>
              </w:rPr>
              <w:t xml:space="preserve"> </w:t>
            </w:r>
            <w:r w:rsidRPr="00DF6733">
              <w:rPr>
                <w:rFonts w:ascii="ˎ̥" w:eastAsia="宋体" w:hAnsi="ˎ̥" w:cs="Arial"/>
                <w:color w:val="919191"/>
                <w:kern w:val="0"/>
                <w:szCs w:val="21"/>
              </w:rPr>
              <w:t>发布</w:t>
            </w:r>
            <w:r w:rsidRPr="00DF6733">
              <w:rPr>
                <w:rFonts w:ascii="ˎ̥" w:eastAsia="宋体" w:hAnsi="ˎ̥" w:cs="Arial"/>
                <w:color w:val="919191"/>
                <w:kern w:val="0"/>
                <w:szCs w:val="21"/>
              </w:rPr>
              <w:t xml:space="preserve"> </w:t>
            </w:r>
          </w:p>
        </w:tc>
      </w:tr>
      <w:tr w:rsidR="00DF6733" w:rsidRPr="00DF6733">
        <w:trPr>
          <w:trHeight w:val="60"/>
          <w:tblCellSpacing w:w="0" w:type="dxa"/>
          <w:jc w:val="center"/>
        </w:trPr>
        <w:tc>
          <w:tcPr>
            <w:tcW w:w="5000" w:type="pct"/>
            <w:vAlign w:val="center"/>
            <w:hideMark/>
          </w:tcPr>
          <w:p w:rsidR="00DF6733" w:rsidRPr="00DF6733" w:rsidRDefault="00DF6733" w:rsidP="00DF6733">
            <w:pPr>
              <w:widowControl/>
              <w:spacing w:line="408" w:lineRule="auto"/>
              <w:jc w:val="center"/>
              <w:rPr>
                <w:rFonts w:ascii="ˎ̥" w:eastAsia="宋体" w:hAnsi="ˎ̥" w:cs="Arial"/>
                <w:color w:val="000000"/>
                <w:kern w:val="0"/>
                <w:sz w:val="6"/>
                <w:szCs w:val="18"/>
              </w:rPr>
            </w:pPr>
          </w:p>
        </w:tc>
      </w:tr>
      <w:tr w:rsidR="00DF6733" w:rsidRPr="00DF6733">
        <w:trPr>
          <w:tblCellSpacing w:w="0" w:type="dxa"/>
          <w:jc w:val="center"/>
        </w:trPr>
        <w:tc>
          <w:tcPr>
            <w:tcW w:w="0" w:type="auto"/>
            <w:tcMar>
              <w:top w:w="300" w:type="dxa"/>
              <w:left w:w="0" w:type="dxa"/>
              <w:bottom w:w="0" w:type="dxa"/>
              <w:right w:w="0" w:type="dxa"/>
            </w:tcMar>
            <w:vAlign w:val="center"/>
            <w:hideMark/>
          </w:tcPr>
          <w:p w:rsidR="00DF6733" w:rsidRPr="00DF6733" w:rsidRDefault="00DF6733" w:rsidP="00DF6733">
            <w:pPr>
              <w:widowControl/>
              <w:spacing w:before="100" w:beforeAutospacing="1" w:after="100" w:afterAutospacing="1" w:line="480" w:lineRule="auto"/>
              <w:jc w:val="left"/>
              <w:rPr>
                <w:rFonts w:ascii="ˎ̥" w:eastAsia="宋体" w:hAnsi="ˎ̥" w:cs="Arial"/>
                <w:color w:val="000000"/>
                <w:kern w:val="0"/>
                <w:szCs w:val="21"/>
              </w:rPr>
            </w:pPr>
            <w:r w:rsidRPr="00DF6733">
              <w:rPr>
                <w:rFonts w:ascii="ˎ̥" w:eastAsia="宋体" w:hAnsi="ˎ̥" w:cs="Arial"/>
                <w:color w:val="000000"/>
                <w:kern w:val="0"/>
                <w:szCs w:val="21"/>
              </w:rPr>
              <w:t xml:space="preserve">　　为进一步加强药品经营质量管理，保障药品安全，</w:t>
            </w:r>
            <w:r w:rsidRPr="00DF6733">
              <w:rPr>
                <w:rFonts w:ascii="ˎ̥" w:eastAsia="宋体" w:hAnsi="ˎ̥" w:cs="Arial"/>
                <w:color w:val="000000"/>
                <w:kern w:val="0"/>
                <w:szCs w:val="21"/>
              </w:rPr>
              <w:t>2016</w:t>
            </w:r>
            <w:r w:rsidRPr="00DF6733">
              <w:rPr>
                <w:rFonts w:ascii="ˎ̥" w:eastAsia="宋体" w:hAnsi="ˎ̥" w:cs="Arial"/>
                <w:color w:val="000000"/>
                <w:kern w:val="0"/>
                <w:szCs w:val="21"/>
              </w:rPr>
              <w:t>年</w:t>
            </w:r>
            <w:r w:rsidRPr="00DF6733">
              <w:rPr>
                <w:rFonts w:ascii="ˎ̥" w:eastAsia="宋体" w:hAnsi="ˎ̥" w:cs="Arial"/>
                <w:color w:val="000000"/>
                <w:kern w:val="0"/>
                <w:szCs w:val="21"/>
              </w:rPr>
              <w:t>6</w:t>
            </w:r>
            <w:r w:rsidRPr="00DF6733">
              <w:rPr>
                <w:rFonts w:ascii="ˎ̥" w:eastAsia="宋体" w:hAnsi="ˎ̥" w:cs="Arial"/>
                <w:color w:val="000000"/>
                <w:kern w:val="0"/>
                <w:szCs w:val="21"/>
              </w:rPr>
              <w:t>月</w:t>
            </w:r>
            <w:r w:rsidRPr="00DF6733">
              <w:rPr>
                <w:rFonts w:ascii="ˎ̥" w:eastAsia="宋体" w:hAnsi="ˎ̥" w:cs="Arial"/>
                <w:color w:val="000000"/>
                <w:kern w:val="0"/>
                <w:szCs w:val="21"/>
              </w:rPr>
              <w:t>30</w:t>
            </w:r>
            <w:r w:rsidRPr="00DF6733">
              <w:rPr>
                <w:rFonts w:ascii="ˎ̥" w:eastAsia="宋体" w:hAnsi="ˎ̥" w:cs="Arial"/>
                <w:color w:val="000000"/>
                <w:kern w:val="0"/>
                <w:szCs w:val="21"/>
              </w:rPr>
              <w:t>日，国家食品药品监督管理总局局务会议审议通过《关于修改</w:t>
            </w:r>
            <w:r w:rsidRPr="00DF6733">
              <w:rPr>
                <w:rFonts w:ascii="ˎ̥" w:eastAsia="宋体" w:hAnsi="ˎ̥" w:cs="Arial"/>
                <w:color w:val="000000"/>
                <w:kern w:val="0"/>
                <w:szCs w:val="21"/>
              </w:rPr>
              <w:t>&lt;</w:t>
            </w:r>
            <w:r w:rsidRPr="00DF6733">
              <w:rPr>
                <w:rFonts w:ascii="ˎ̥" w:eastAsia="宋体" w:hAnsi="ˎ̥" w:cs="Arial"/>
                <w:color w:val="000000"/>
                <w:kern w:val="0"/>
                <w:szCs w:val="21"/>
              </w:rPr>
              <w:t>药品经营质量管理规范</w:t>
            </w:r>
            <w:r w:rsidRPr="00DF6733">
              <w:rPr>
                <w:rFonts w:ascii="ˎ̥" w:eastAsia="宋体" w:hAnsi="ˎ̥" w:cs="Arial"/>
                <w:color w:val="000000"/>
                <w:kern w:val="0"/>
                <w:szCs w:val="21"/>
              </w:rPr>
              <w:t>&gt;</w:t>
            </w:r>
            <w:r w:rsidRPr="00DF6733">
              <w:rPr>
                <w:rFonts w:ascii="ˎ̥" w:eastAsia="宋体" w:hAnsi="ˎ̥" w:cs="Arial"/>
                <w:color w:val="000000"/>
                <w:kern w:val="0"/>
                <w:szCs w:val="21"/>
              </w:rPr>
              <w:t>的决定》，自公布之日起施行。《药品经营质量管理规范》经修改后全文重新公布。</w:t>
            </w:r>
            <w:r w:rsidRPr="00DF6733">
              <w:rPr>
                <w:rFonts w:ascii="ˎ̥" w:eastAsia="宋体" w:hAnsi="ˎ̥" w:cs="Arial"/>
                <w:color w:val="000000"/>
                <w:kern w:val="0"/>
                <w:szCs w:val="21"/>
              </w:rPr>
              <w:t>&lt;</w:t>
            </w:r>
            <w:r w:rsidRPr="00DF6733">
              <w:rPr>
                <w:rFonts w:ascii="ˎ̥" w:eastAsia="宋体" w:hAnsi="ˎ̥" w:cs="Arial"/>
                <w:color w:val="000000"/>
                <w:kern w:val="0"/>
                <w:szCs w:val="21"/>
              </w:rPr>
              <w:t>药品经营质量管理规范</w:t>
            </w:r>
            <w:r w:rsidRPr="00DF6733">
              <w:rPr>
                <w:rFonts w:ascii="ˎ̥" w:eastAsia="宋体" w:hAnsi="ˎ̥" w:cs="Arial"/>
                <w:color w:val="000000"/>
                <w:kern w:val="0"/>
                <w:szCs w:val="21"/>
              </w:rPr>
              <w:t>&gt;</w:t>
            </w:r>
          </w:p>
          <w:p w:rsidR="00DF6733" w:rsidRPr="00DF6733" w:rsidRDefault="00DF6733" w:rsidP="00DF6733">
            <w:pPr>
              <w:widowControl/>
              <w:spacing w:before="100" w:beforeAutospacing="1" w:after="100" w:afterAutospacing="1" w:line="480" w:lineRule="auto"/>
              <w:jc w:val="left"/>
              <w:rPr>
                <w:rFonts w:ascii="ˎ̥" w:eastAsia="宋体" w:hAnsi="ˎ̥" w:cs="Arial"/>
                <w:color w:val="000000"/>
                <w:kern w:val="0"/>
                <w:szCs w:val="21"/>
              </w:rPr>
            </w:pPr>
            <w:r w:rsidRPr="00DF6733">
              <w:rPr>
                <w:rFonts w:ascii="ˎ̥" w:eastAsia="宋体" w:hAnsi="ˎ̥" w:cs="Arial"/>
                <w:color w:val="000000"/>
                <w:kern w:val="0"/>
                <w:szCs w:val="21"/>
              </w:rPr>
              <w:t xml:space="preserve">　　本次修改主要涉及三个方面的内容：一是根据国务院办公厅《关于加快推进重要产品追溯体系建设的意见》（国办发〔</w:t>
            </w:r>
            <w:r w:rsidRPr="00DF6733">
              <w:rPr>
                <w:rFonts w:ascii="ˎ̥" w:eastAsia="宋体" w:hAnsi="ˎ̥" w:cs="Arial"/>
                <w:color w:val="000000"/>
                <w:kern w:val="0"/>
                <w:szCs w:val="21"/>
              </w:rPr>
              <w:t>2015</w:t>
            </w:r>
            <w:r w:rsidRPr="00DF6733">
              <w:rPr>
                <w:rFonts w:ascii="ˎ̥" w:eastAsia="宋体" w:hAnsi="ˎ̥" w:cs="Arial"/>
                <w:color w:val="000000"/>
                <w:kern w:val="0"/>
                <w:szCs w:val="21"/>
              </w:rPr>
              <w:t>〕</w:t>
            </w:r>
            <w:r w:rsidRPr="00DF6733">
              <w:rPr>
                <w:rFonts w:ascii="ˎ̥" w:eastAsia="宋体" w:hAnsi="ˎ̥" w:cs="Arial"/>
                <w:color w:val="000000"/>
                <w:kern w:val="0"/>
                <w:szCs w:val="21"/>
              </w:rPr>
              <w:t>95</w:t>
            </w:r>
            <w:r w:rsidRPr="00DF6733">
              <w:rPr>
                <w:rFonts w:ascii="ˎ̥" w:eastAsia="宋体" w:hAnsi="ˎ̥" w:cs="Arial"/>
                <w:color w:val="000000"/>
                <w:kern w:val="0"/>
                <w:szCs w:val="21"/>
              </w:rPr>
              <w:t>号），对药品流通环节中药品经营企业如何执行药品追溯制度提出了操作性要求。二是根据《国务院关于修改〈疫苗流通和预防接种管理条例〉的决定》（国务院令第</w:t>
            </w:r>
            <w:r w:rsidRPr="00DF6733">
              <w:rPr>
                <w:rFonts w:ascii="ˎ̥" w:eastAsia="宋体" w:hAnsi="ˎ̥" w:cs="Arial"/>
                <w:color w:val="000000"/>
                <w:kern w:val="0"/>
                <w:szCs w:val="21"/>
              </w:rPr>
              <w:t>668</w:t>
            </w:r>
            <w:r w:rsidRPr="00DF6733">
              <w:rPr>
                <w:rFonts w:ascii="ˎ̥" w:eastAsia="宋体" w:hAnsi="ˎ̥" w:cs="Arial"/>
                <w:color w:val="000000"/>
                <w:kern w:val="0"/>
                <w:szCs w:val="21"/>
              </w:rPr>
              <w:t>号）</w:t>
            </w:r>
            <w:r w:rsidRPr="00DF6733">
              <w:rPr>
                <w:rFonts w:ascii="ˎ̥" w:eastAsia="宋体" w:hAnsi="ˎ̥" w:cs="Arial"/>
                <w:color w:val="000000"/>
                <w:kern w:val="0"/>
                <w:szCs w:val="21"/>
              </w:rPr>
              <w:t>,</w:t>
            </w:r>
            <w:r w:rsidRPr="00DF6733">
              <w:rPr>
                <w:rFonts w:ascii="ˎ̥" w:eastAsia="宋体" w:hAnsi="ˎ̥" w:cs="Arial"/>
                <w:color w:val="000000"/>
                <w:kern w:val="0"/>
                <w:szCs w:val="21"/>
              </w:rPr>
              <w:t>将《药品经营质量管理规范》中关于疫苗经营企业的相关规定修改为疫苗配送企业的要求。三是根据《国务院办公厅关于加快推进</w:t>
            </w:r>
            <w:r w:rsidRPr="00DF6733">
              <w:rPr>
                <w:rFonts w:ascii="ˎ̥" w:eastAsia="宋体" w:hAnsi="ˎ̥" w:cs="Arial"/>
                <w:color w:val="000000"/>
                <w:kern w:val="0"/>
                <w:szCs w:val="21"/>
              </w:rPr>
              <w:t>“</w:t>
            </w:r>
            <w:r w:rsidRPr="00DF6733">
              <w:rPr>
                <w:rFonts w:ascii="ˎ̥" w:eastAsia="宋体" w:hAnsi="ˎ̥" w:cs="Arial"/>
                <w:color w:val="000000"/>
                <w:kern w:val="0"/>
                <w:szCs w:val="21"/>
              </w:rPr>
              <w:t>三证合一</w:t>
            </w:r>
            <w:r w:rsidRPr="00DF6733">
              <w:rPr>
                <w:rFonts w:ascii="ˎ̥" w:eastAsia="宋体" w:hAnsi="ˎ̥" w:cs="Arial"/>
                <w:color w:val="000000"/>
                <w:kern w:val="0"/>
                <w:szCs w:val="21"/>
              </w:rPr>
              <w:t>”</w:t>
            </w:r>
            <w:r w:rsidRPr="00DF6733">
              <w:rPr>
                <w:rFonts w:ascii="ˎ̥" w:eastAsia="宋体" w:hAnsi="ˎ̥" w:cs="Arial"/>
                <w:color w:val="000000"/>
                <w:kern w:val="0"/>
                <w:szCs w:val="21"/>
              </w:rPr>
              <w:t>登记制度改革的意见》（国办发〔</w:t>
            </w:r>
            <w:r w:rsidRPr="00DF6733">
              <w:rPr>
                <w:rFonts w:ascii="ˎ̥" w:eastAsia="宋体" w:hAnsi="ˎ̥" w:cs="Arial"/>
                <w:color w:val="000000"/>
                <w:kern w:val="0"/>
                <w:szCs w:val="21"/>
              </w:rPr>
              <w:t>2015</w:t>
            </w:r>
            <w:r w:rsidRPr="00DF6733">
              <w:rPr>
                <w:rFonts w:ascii="ˎ̥" w:eastAsia="宋体" w:hAnsi="ˎ̥" w:cs="Arial"/>
                <w:color w:val="000000"/>
                <w:kern w:val="0"/>
                <w:szCs w:val="21"/>
              </w:rPr>
              <w:t>〕</w:t>
            </w:r>
            <w:r w:rsidRPr="00DF6733">
              <w:rPr>
                <w:rFonts w:ascii="ˎ̥" w:eastAsia="宋体" w:hAnsi="ˎ̥" w:cs="Arial"/>
                <w:color w:val="000000"/>
                <w:kern w:val="0"/>
                <w:szCs w:val="21"/>
              </w:rPr>
              <w:t>50</w:t>
            </w:r>
            <w:r w:rsidRPr="00DF6733">
              <w:rPr>
                <w:rFonts w:ascii="ˎ̥" w:eastAsia="宋体" w:hAnsi="ˎ̥" w:cs="Arial"/>
                <w:color w:val="000000"/>
                <w:kern w:val="0"/>
                <w:szCs w:val="21"/>
              </w:rPr>
              <w:t>号），将首营企业需要查验的证件合并规定为</w:t>
            </w:r>
            <w:r w:rsidRPr="00DF6733">
              <w:rPr>
                <w:rFonts w:ascii="ˎ̥" w:eastAsia="宋体" w:hAnsi="ˎ̥" w:cs="Arial"/>
                <w:color w:val="000000"/>
                <w:kern w:val="0"/>
                <w:szCs w:val="21"/>
              </w:rPr>
              <w:t>“</w:t>
            </w:r>
            <w:r w:rsidRPr="00DF6733">
              <w:rPr>
                <w:rFonts w:ascii="ˎ̥" w:eastAsia="宋体" w:hAnsi="ˎ̥" w:cs="Arial"/>
                <w:color w:val="000000"/>
                <w:kern w:val="0"/>
                <w:szCs w:val="21"/>
              </w:rPr>
              <w:t>营业执照、税务登记、组织机构代码的证件复印件</w:t>
            </w:r>
            <w:r w:rsidRPr="00DF6733">
              <w:rPr>
                <w:rFonts w:ascii="ˎ̥" w:eastAsia="宋体" w:hAnsi="ˎ̥" w:cs="Arial"/>
                <w:color w:val="000000"/>
                <w:kern w:val="0"/>
                <w:szCs w:val="21"/>
              </w:rPr>
              <w:t>”</w:t>
            </w:r>
            <w:r w:rsidRPr="00DF6733">
              <w:rPr>
                <w:rFonts w:ascii="ˎ̥" w:eastAsia="宋体" w:hAnsi="ˎ̥" w:cs="Arial"/>
                <w:color w:val="000000"/>
                <w:kern w:val="0"/>
                <w:szCs w:val="21"/>
              </w:rPr>
              <w:t>。</w:t>
            </w:r>
          </w:p>
        </w:tc>
      </w:tr>
      <w:tr w:rsidR="00DF6733" w:rsidRPr="00DF6733">
        <w:trPr>
          <w:tblCellSpacing w:w="0" w:type="dxa"/>
          <w:jc w:val="center"/>
        </w:trPr>
        <w:tc>
          <w:tcPr>
            <w:tcW w:w="0" w:type="auto"/>
            <w:vAlign w:val="center"/>
            <w:hideMark/>
          </w:tcPr>
          <w:p w:rsidR="00DF6733" w:rsidRPr="00DF6733" w:rsidRDefault="00DF6733" w:rsidP="00DF6733">
            <w:pPr>
              <w:widowControl/>
              <w:spacing w:line="408" w:lineRule="auto"/>
              <w:jc w:val="left"/>
              <w:rPr>
                <w:rFonts w:ascii="ˎ̥" w:eastAsia="宋体" w:hAnsi="ˎ̥" w:cs="Arial"/>
                <w:kern w:val="0"/>
                <w:sz w:val="18"/>
                <w:szCs w:val="18"/>
              </w:rPr>
            </w:pPr>
          </w:p>
        </w:tc>
      </w:tr>
      <w:tr w:rsidR="00DF6733" w:rsidRPr="00DF6733">
        <w:trPr>
          <w:trHeight w:val="450"/>
          <w:tblCellSpacing w:w="0" w:type="dxa"/>
          <w:jc w:val="center"/>
        </w:trPr>
        <w:tc>
          <w:tcPr>
            <w:tcW w:w="0" w:type="auto"/>
            <w:vAlign w:val="center"/>
            <w:hideMark/>
          </w:tcPr>
          <w:p w:rsidR="00DF6733" w:rsidRPr="00DF6733" w:rsidRDefault="00DF6733" w:rsidP="00DF6733">
            <w:pPr>
              <w:widowControl/>
              <w:spacing w:line="408" w:lineRule="auto"/>
              <w:jc w:val="left"/>
              <w:rPr>
                <w:rFonts w:ascii="ˎ̥" w:eastAsia="宋体" w:hAnsi="ˎ̥" w:cs="Arial"/>
                <w:kern w:val="0"/>
                <w:sz w:val="18"/>
                <w:szCs w:val="18"/>
              </w:rPr>
            </w:pPr>
          </w:p>
        </w:tc>
      </w:tr>
      <w:tr w:rsidR="00DF6733" w:rsidRPr="00DF6733">
        <w:trPr>
          <w:trHeight w:val="330"/>
          <w:tblCellSpacing w:w="0" w:type="dxa"/>
          <w:jc w:val="center"/>
        </w:trPr>
        <w:tc>
          <w:tcPr>
            <w:tcW w:w="0" w:type="auto"/>
            <w:vAlign w:val="center"/>
            <w:hideMark/>
          </w:tcPr>
          <w:p w:rsidR="00DF6733" w:rsidRPr="00DF6733" w:rsidRDefault="00DF6733" w:rsidP="00DF6733">
            <w:pPr>
              <w:widowControl/>
              <w:spacing w:line="600" w:lineRule="auto"/>
              <w:jc w:val="left"/>
              <w:rPr>
                <w:rFonts w:ascii="Helvetica" w:eastAsia="宋体" w:hAnsi="Helvetica" w:cs="Arial"/>
                <w:b/>
                <w:bCs/>
                <w:color w:val="000000"/>
                <w:kern w:val="0"/>
                <w:szCs w:val="21"/>
              </w:rPr>
            </w:pPr>
            <w:r w:rsidRPr="00DF6733">
              <w:rPr>
                <w:rFonts w:ascii="Helvetica" w:eastAsia="宋体" w:hAnsi="Helvetica" w:cs="Arial"/>
                <w:b/>
                <w:bCs/>
                <w:color w:val="000000"/>
                <w:kern w:val="0"/>
                <w:szCs w:val="21"/>
              </w:rPr>
              <w:t>【相关链接】</w:t>
            </w:r>
            <w:r w:rsidRPr="00DF6733">
              <w:rPr>
                <w:rFonts w:ascii="Helvetica" w:eastAsia="宋体" w:hAnsi="Helvetica" w:cs="Arial"/>
                <w:b/>
                <w:bCs/>
                <w:color w:val="000000"/>
                <w:kern w:val="0"/>
                <w:szCs w:val="21"/>
              </w:rPr>
              <w:t xml:space="preserve"> </w:t>
            </w:r>
          </w:p>
        </w:tc>
      </w:tr>
      <w:tr w:rsidR="00DF6733" w:rsidRPr="00DF6733">
        <w:trPr>
          <w:trHeight w:val="225"/>
          <w:tblCellSpacing w:w="0" w:type="dxa"/>
          <w:jc w:val="center"/>
        </w:trPr>
        <w:tc>
          <w:tcPr>
            <w:tcW w:w="0" w:type="auto"/>
            <w:vAlign w:val="center"/>
            <w:hideMark/>
          </w:tcPr>
          <w:p w:rsidR="00DF6733" w:rsidRPr="00DF6733" w:rsidRDefault="00DF6733" w:rsidP="00DF6733">
            <w:pPr>
              <w:widowControl/>
              <w:spacing w:line="408" w:lineRule="auto"/>
              <w:jc w:val="left"/>
              <w:rPr>
                <w:rFonts w:ascii="ˎ̥" w:eastAsia="宋体" w:hAnsi="ˎ̥" w:cs="Arial"/>
                <w:kern w:val="0"/>
                <w:sz w:val="18"/>
                <w:szCs w:val="18"/>
              </w:rPr>
            </w:pPr>
          </w:p>
        </w:tc>
      </w:tr>
      <w:tr w:rsidR="00DF6733" w:rsidRPr="00DF6733">
        <w:trPr>
          <w:tblCellSpacing w:w="0" w:type="dxa"/>
          <w:jc w:val="center"/>
        </w:trPr>
        <w:tc>
          <w:tcPr>
            <w:tcW w:w="0" w:type="auto"/>
            <w:shd w:val="clear" w:color="auto" w:fill="F6F6F6"/>
            <w:tcMar>
              <w:top w:w="0" w:type="dxa"/>
              <w:left w:w="375" w:type="dxa"/>
              <w:bottom w:w="0" w:type="dxa"/>
              <w:right w:w="0" w:type="dxa"/>
            </w:tcMar>
            <w:vAlign w:val="center"/>
            <w:hideMark/>
          </w:tcPr>
          <w:p w:rsidR="00DF6733" w:rsidRPr="00DF6733" w:rsidRDefault="00DF6733" w:rsidP="00DF6733">
            <w:pPr>
              <w:widowControl/>
              <w:spacing w:line="432" w:lineRule="auto"/>
              <w:jc w:val="left"/>
              <w:rPr>
                <w:rFonts w:ascii="Helvetica" w:eastAsia="宋体" w:hAnsi="Helvetica" w:cs="Arial"/>
                <w:color w:val="000000"/>
                <w:kern w:val="0"/>
                <w:szCs w:val="21"/>
              </w:rPr>
            </w:pPr>
            <w:hyperlink r:id="rId7" w:tgtFrame="_blank" w:history="1">
              <w:r w:rsidRPr="00DF6733">
                <w:rPr>
                  <w:rFonts w:ascii="Helvetica" w:eastAsia="宋体" w:hAnsi="Helvetica" w:cs="Arial"/>
                  <w:color w:val="3A3A3A"/>
                  <w:kern w:val="0"/>
                  <w:szCs w:val="21"/>
                </w:rPr>
                <w:t>《国家食品药品监督管理总局关于修改〈药品经营质量管理规范〉的决定》（国家食品药品监督管理总局令第</w:t>
              </w:r>
              <w:r w:rsidRPr="00DF6733">
                <w:rPr>
                  <w:rFonts w:ascii="Helvetica" w:eastAsia="宋体" w:hAnsi="Helvetica" w:cs="Arial"/>
                  <w:color w:val="3A3A3A"/>
                  <w:kern w:val="0"/>
                  <w:szCs w:val="21"/>
                </w:rPr>
                <w:t>28</w:t>
              </w:r>
              <w:r w:rsidRPr="00DF6733">
                <w:rPr>
                  <w:rFonts w:ascii="Helvetica" w:eastAsia="宋体" w:hAnsi="Helvetica" w:cs="Arial"/>
                  <w:color w:val="3A3A3A"/>
                  <w:kern w:val="0"/>
                  <w:szCs w:val="21"/>
                </w:rPr>
                <w:t>号）</w:t>
              </w:r>
              <w:r w:rsidRPr="00DF6733">
                <w:rPr>
                  <w:rFonts w:ascii="Helvetica" w:eastAsia="宋体" w:hAnsi="Helvetica" w:cs="Arial"/>
                  <w:color w:val="3A3A3A"/>
                  <w:kern w:val="0"/>
                  <w:szCs w:val="21"/>
                </w:rPr>
                <w:t xml:space="preserve"> </w:t>
              </w:r>
            </w:hyperlink>
          </w:p>
        </w:tc>
      </w:tr>
    </w:tbl>
    <w:p w:rsidR="00445C52" w:rsidRPr="00DF6733" w:rsidRDefault="00445C52"/>
    <w:sectPr w:rsidR="00445C52" w:rsidRPr="00DF6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42" w:rsidRDefault="00F40542" w:rsidP="00DF6733">
      <w:r>
        <w:separator/>
      </w:r>
    </w:p>
  </w:endnote>
  <w:endnote w:type="continuationSeparator" w:id="0">
    <w:p w:rsidR="00F40542" w:rsidRDefault="00F40542" w:rsidP="00DF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42" w:rsidRDefault="00F40542" w:rsidP="00DF6733">
      <w:r>
        <w:separator/>
      </w:r>
    </w:p>
  </w:footnote>
  <w:footnote w:type="continuationSeparator" w:id="0">
    <w:p w:rsidR="00F40542" w:rsidRDefault="00F40542" w:rsidP="00DF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A4"/>
    <w:rsid w:val="00445C52"/>
    <w:rsid w:val="00824DA4"/>
    <w:rsid w:val="00DF6733"/>
    <w:rsid w:val="00F40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733"/>
    <w:rPr>
      <w:sz w:val="18"/>
      <w:szCs w:val="18"/>
    </w:rPr>
  </w:style>
  <w:style w:type="paragraph" w:styleId="a4">
    <w:name w:val="footer"/>
    <w:basedOn w:val="a"/>
    <w:link w:val="Char0"/>
    <w:uiPriority w:val="99"/>
    <w:unhideWhenUsed/>
    <w:rsid w:val="00DF6733"/>
    <w:pPr>
      <w:tabs>
        <w:tab w:val="center" w:pos="4153"/>
        <w:tab w:val="right" w:pos="8306"/>
      </w:tabs>
      <w:snapToGrid w:val="0"/>
      <w:jc w:val="left"/>
    </w:pPr>
    <w:rPr>
      <w:sz w:val="18"/>
      <w:szCs w:val="18"/>
    </w:rPr>
  </w:style>
  <w:style w:type="character" w:customStyle="1" w:styleId="Char0">
    <w:name w:val="页脚 Char"/>
    <w:basedOn w:val="a0"/>
    <w:link w:val="a4"/>
    <w:uiPriority w:val="99"/>
    <w:rsid w:val="00DF67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733"/>
    <w:rPr>
      <w:sz w:val="18"/>
      <w:szCs w:val="18"/>
    </w:rPr>
  </w:style>
  <w:style w:type="paragraph" w:styleId="a4">
    <w:name w:val="footer"/>
    <w:basedOn w:val="a"/>
    <w:link w:val="Char0"/>
    <w:uiPriority w:val="99"/>
    <w:unhideWhenUsed/>
    <w:rsid w:val="00DF6733"/>
    <w:pPr>
      <w:tabs>
        <w:tab w:val="center" w:pos="4153"/>
        <w:tab w:val="right" w:pos="8306"/>
      </w:tabs>
      <w:snapToGrid w:val="0"/>
      <w:jc w:val="left"/>
    </w:pPr>
    <w:rPr>
      <w:sz w:val="18"/>
      <w:szCs w:val="18"/>
    </w:rPr>
  </w:style>
  <w:style w:type="character" w:customStyle="1" w:styleId="Char0">
    <w:name w:val="页脚 Char"/>
    <w:basedOn w:val="a0"/>
    <w:link w:val="a4"/>
    <w:uiPriority w:val="99"/>
    <w:rsid w:val="00DF67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da.gov.cn/WS01/CL0053/15978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2016-07-20T06:24:00Z</dcterms:created>
  <dcterms:modified xsi:type="dcterms:W3CDTF">2016-07-20T06:30:00Z</dcterms:modified>
</cp:coreProperties>
</file>